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3 (Continuous Improvement) </w:t>
      </w:r>
      <w:r w:rsidDel="00000000" w:rsidR="00000000" w:rsidRPr="00000000">
        <w:rPr>
          <w:rtl w:val="0"/>
        </w:rPr>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Buyer’s Rights</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Supplier’s Obligations</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"Continuous Improvement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Buyer's Approval.  The Continuous Improvement Plan must include, as a minimum, proposals:</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identifying the emergence of relevant new and evolving technologies;</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measuring and reducing the sustainability impacts of the Supplier's operations and supply-chains relating to the Deliverables, and identifying opportunities to assist the Buyer in meeting their sustainability objectives.</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Continuous Improvement Plan for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shall be submitted by the Supplier to the Buyer for Approval within one hundred (100) Working Days of the first Order or six (6) Months following the Start Date, whichever is earlier.  </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wishes to incorporate any improvement into this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1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first Continuous Improvement Plan has been Approved in accordance with Paragraph 2.5:</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in accordance with the procedure and timescales set out in Paragraph 2.3. </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E">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1F">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2">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3">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RM6240 Public Sector Legal Services Framework</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5">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3 (Continuous Improvement)</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autoRedefine w:val="1"/>
    <w:qFormat w:val="1"/>
    <w:rsid w:val="00D7661C"/>
    <w:pPr>
      <w:keepNext w:val="1"/>
      <w:ind w:left="360" w:hanging="360"/>
      <w:outlineLvl w:val="9"/>
    </w:pPr>
    <w:rPr>
      <w:rFonts w:ascii="Arial Bold" w:hAnsi="Arial Bold"/>
      <w:b w:val="0"/>
      <w:caps w:val="0"/>
      <w:sz w:val="24"/>
    </w:r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D7661C"/>
    <w:rPr>
      <w:rFonts w:ascii="Arial Bold" w:cs="Arial" w:eastAsia="STZhongsong" w:hAnsi="Arial Bold"/>
      <w:sz w:val="24"/>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idItwe4HmXG9Q6awqObd0VhDrA==">AMUW2mUQPLcwKxpLjPqK64OFisB7Nn+MNmL91qbwaaS2UuNtJ+0QEAkPEnH2/FbgbUCnFOPxswOFe6XOQfRSRjOHXSNfbo2kbCyyIMGpSyMUHBgyztqaW+ZOnwIqTN0Xo3nbTxycTdUzR5w0K4jReMwfUTudGaoF9rpaSQwPFNy6SQwHrmOspzr4zT5Eks1OuoAt+nhyyf5G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